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8B09" w14:textId="696FB5BD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2E53DB">
        <w:t>56550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3CFFBA9F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2468A67F" w14:textId="19FDE976" w:rsidR="00E710D3" w:rsidRPr="00E710D3" w:rsidRDefault="00C73C4A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1E17F0A9FBBE426783DFEF6E5496E1B4"/>
                </w:placeholder>
                <w15:appearance w15:val="hidden"/>
              </w:sdtPr>
              <w:sdtEndPr/>
              <w:sdtContent>
                <w:r w:rsidR="002E53DB">
                  <w:rPr>
                    <w:b/>
                    <w:caps/>
                    <w:szCs w:val="20"/>
                  </w:rPr>
                  <w:t>APPLICATION OF PINK HILL WATER SUPPLY CORPORATION FOR AUTHORITY TO CHANGE RATES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7F9B2152" w14:textId="77777777" w:rsidR="002E53DB" w:rsidRDefault="002E53D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AB2F7FD" w14:textId="77777777" w:rsidR="002E53DB" w:rsidRDefault="002E53D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53E06B7" w14:textId="0EE054CB" w:rsidR="00DA790F" w:rsidRPr="008647EB" w:rsidRDefault="002E53D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794955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A32E66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DBED50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9A7455F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611D1EA8" w14:textId="69ED54E2" w:rsidR="007C1C19" w:rsidRPr="008647EB" w:rsidRDefault="002E53DB" w:rsidP="007C1C1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>Commission staff’s response to order no. 2</w:t>
      </w:r>
    </w:p>
    <w:p w14:paraId="352E085F" w14:textId="77777777" w:rsidR="007C1C19" w:rsidRPr="008647EB" w:rsidRDefault="007C1C19" w:rsidP="007C1C19">
      <w:pPr>
        <w:pStyle w:val="CaseCaption"/>
        <w:spacing w:after="0"/>
        <w:contextualSpacing w:val="0"/>
      </w:pPr>
    </w:p>
    <w:p w14:paraId="4203E939" w14:textId="369DDC84" w:rsidR="007C1C19" w:rsidRDefault="002E53DB" w:rsidP="007C1C19">
      <w:pPr>
        <w:pStyle w:val="Paragraph"/>
        <w:tabs>
          <w:tab w:val="left" w:pos="4680"/>
        </w:tabs>
        <w:rPr>
          <w:iCs/>
        </w:rPr>
      </w:pPr>
      <w:r>
        <w:rPr>
          <w:iCs/>
        </w:rPr>
        <w:t xml:space="preserve">On April 25, 2024, Pink Hill Water Supply Corporation (Pink Hill WSC) filed a notice in this docket that appeared to </w:t>
      </w:r>
      <w:r w:rsidR="00C73C4A">
        <w:rPr>
          <w:iCs/>
        </w:rPr>
        <w:t xml:space="preserve">be </w:t>
      </w:r>
      <w:r>
        <w:rPr>
          <w:iCs/>
        </w:rPr>
        <w:t xml:space="preserve">a notice of proposed rate change that is intended to accompany an application to change rates filed under Texas Water Code (TWC) </w:t>
      </w:r>
      <w:r w:rsidRPr="002E53DB">
        <w:rPr>
          <w:iCs/>
        </w:rPr>
        <w:t>§§</w:t>
      </w:r>
      <w:r>
        <w:rPr>
          <w:iCs/>
        </w:rPr>
        <w:t xml:space="preserve"> 13.1871 and 13.18715. On May 13, 2024, Pink Hill WSC </w:t>
      </w:r>
      <w:r w:rsidR="00EF7D57">
        <w:rPr>
          <w:iCs/>
        </w:rPr>
        <w:t xml:space="preserve">filed a response to Order No. 1 and </w:t>
      </w:r>
      <w:r>
        <w:rPr>
          <w:iCs/>
        </w:rPr>
        <w:t>clarified that i</w:t>
      </w:r>
      <w:r w:rsidR="00EF7D57">
        <w:rPr>
          <w:iCs/>
        </w:rPr>
        <w:t>ts</w:t>
      </w:r>
      <w:r>
        <w:rPr>
          <w:iCs/>
        </w:rPr>
        <w:t xml:space="preserve"> filing was intended to comply with 16 Texas Administrative Code (TAC) </w:t>
      </w:r>
      <w:r w:rsidR="00815848">
        <w:t>§</w:t>
      </w:r>
      <w:r>
        <w:t xml:space="preserve"> 24.25(i). </w:t>
      </w:r>
    </w:p>
    <w:p w14:paraId="2B16F8D7" w14:textId="29C09D59" w:rsidR="007C1C19" w:rsidRDefault="007C1C19" w:rsidP="007C1C19">
      <w:pPr>
        <w:pStyle w:val="Paragraph"/>
      </w:pPr>
      <w:r>
        <w:rPr>
          <w:iCs/>
        </w:rPr>
        <w:t xml:space="preserve">On </w:t>
      </w:r>
      <w:r w:rsidR="002E53DB">
        <w:rPr>
          <w:iCs/>
        </w:rPr>
        <w:t>June 18, 2024</w:t>
      </w:r>
      <w:r>
        <w:rPr>
          <w:iCs/>
        </w:rPr>
        <w:t>, the administrative law judge</w:t>
      </w:r>
      <w:r w:rsidR="002E53DB">
        <w:rPr>
          <w:iCs/>
        </w:rPr>
        <w:t xml:space="preserve"> (ALJ) </w:t>
      </w:r>
      <w:r>
        <w:rPr>
          <w:iCs/>
        </w:rPr>
        <w:t xml:space="preserve">filed Order No. </w:t>
      </w:r>
      <w:r w:rsidR="007D6489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establishing a deadline of </w:t>
      </w:r>
      <w:r w:rsidR="002E53DB">
        <w:t>July 3, 2024</w:t>
      </w:r>
      <w:r>
        <w:t xml:space="preserve"> for the (Staff) of the Public Utility Commission of Texas (Commission) to file </w:t>
      </w:r>
      <w:r w:rsidR="002E53DB">
        <w:t>recommendations on whether there is a more appropriate docket or project that the filing should have been made in and whether this docket should be classified as a project for administrative processing by Commission Staff without the need for involvement by an ALJ.</w:t>
      </w:r>
      <w:r>
        <w:t xml:space="preserve"> Therefore, this pleading is timely filed.</w:t>
      </w:r>
    </w:p>
    <w:p w14:paraId="2B550E5F" w14:textId="77777777" w:rsidR="007C1C19" w:rsidRPr="004B6D44" w:rsidRDefault="007C1C19" w:rsidP="007C1C19">
      <w:pPr>
        <w:pStyle w:val="Paragraph"/>
        <w:rPr>
          <w:iCs/>
        </w:rPr>
      </w:pPr>
    </w:p>
    <w:p w14:paraId="79152A2D" w14:textId="176DFF18" w:rsidR="007C1C19" w:rsidRDefault="002E53DB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RESPONSE TO ORDER NO. 2</w:t>
      </w:r>
    </w:p>
    <w:p w14:paraId="348E052F" w14:textId="011EE0F0" w:rsidR="001F3EFD" w:rsidRDefault="00EF7D57" w:rsidP="007C1C19">
      <w:pPr>
        <w:pStyle w:val="Paragraph"/>
      </w:pPr>
      <w:r>
        <w:t>Staff has reviewed Pink Hill</w:t>
      </w:r>
      <w:r w:rsidR="00815848">
        <w:t xml:space="preserve"> WSC</w:t>
      </w:r>
      <w:r>
        <w:t xml:space="preserve">’s response to Order No. 1 and recommends that </w:t>
      </w:r>
      <w:r w:rsidR="00815848">
        <w:t>Pink Hill WSC’s April 25</w:t>
      </w:r>
      <w:r w:rsidR="00815848" w:rsidRPr="00815848">
        <w:rPr>
          <w:vertAlign w:val="superscript"/>
        </w:rPr>
        <w:t>th</w:t>
      </w:r>
      <w:r w:rsidR="00815848">
        <w:t xml:space="preserve"> filing </w:t>
      </w:r>
      <w:r>
        <w:t xml:space="preserve">be considered </w:t>
      </w:r>
      <w:r w:rsidR="00815848">
        <w:t xml:space="preserve">as </w:t>
      </w:r>
      <w:r>
        <w:t>an informational tariff filing</w:t>
      </w:r>
      <w:r w:rsidR="00815848">
        <w:t>,</w:t>
      </w:r>
      <w:r>
        <w:t xml:space="preserve"> </w:t>
      </w:r>
      <w:r w:rsidR="00815848">
        <w:t>as required by TWC § 13.</w:t>
      </w:r>
      <w:r w:rsidR="007D6489">
        <w:t>136</w:t>
      </w:r>
      <w:r w:rsidR="00815848">
        <w:t xml:space="preserve">(c) and 16 TAC § 24.25(i). </w:t>
      </w:r>
      <w:r w:rsidR="001F3EFD">
        <w:t xml:space="preserve">Specifically, the filing shows that Pink Hill WSC has made changes to its gallonage charges. </w:t>
      </w:r>
      <w:r w:rsidR="00815848">
        <w:t>Further, Staff notes that Pink Hill WSC has previously filed its tariff for informational purposes under Tariff Control No. 55678.</w:t>
      </w:r>
      <w:r w:rsidR="00815848">
        <w:rPr>
          <w:rStyle w:val="FootnoteReference"/>
        </w:rPr>
        <w:footnoteReference w:id="2"/>
      </w:r>
      <w:r w:rsidR="00815848">
        <w:t xml:space="preserve"> </w:t>
      </w:r>
      <w:r w:rsidR="00CC4631">
        <w:t xml:space="preserve">Accordingly, </w:t>
      </w:r>
      <w:r w:rsidR="002C3324">
        <w:t>Tariff Control No. 55678 is the</w:t>
      </w:r>
      <w:r w:rsidR="00CC4631">
        <w:t xml:space="preserve"> appropriate </w:t>
      </w:r>
      <w:r w:rsidR="002C3324">
        <w:t xml:space="preserve">control number </w:t>
      </w:r>
      <w:r w:rsidR="00006544">
        <w:t>under</w:t>
      </w:r>
      <w:r w:rsidR="002C3324">
        <w:t xml:space="preserve"> which </w:t>
      </w:r>
      <w:r w:rsidR="00CC4631">
        <w:t xml:space="preserve">Pink Hill WSC </w:t>
      </w:r>
      <w:r w:rsidR="002C3324">
        <w:t>should have</w:t>
      </w:r>
      <w:r w:rsidR="00CC4631">
        <w:t xml:space="preserve"> provide</w:t>
      </w:r>
      <w:r w:rsidR="002C3324">
        <w:t>d</w:t>
      </w:r>
      <w:r w:rsidR="00CC4631">
        <w:t xml:space="preserve"> this informational tariff filing. To that end, Staff recommends that </w:t>
      </w:r>
      <w:r w:rsidR="002C3324">
        <w:t xml:space="preserve">this docket be consolidated with Pink Hill WSC’s </w:t>
      </w:r>
      <w:r w:rsidR="00CC4631">
        <w:t>informational tariff filing</w:t>
      </w:r>
      <w:r w:rsidR="002C3324">
        <w:t>s</w:t>
      </w:r>
      <w:r w:rsidR="00CC4631">
        <w:t xml:space="preserve"> in Tariff Control No. 55</w:t>
      </w:r>
      <w:r w:rsidR="009A775F">
        <w:t>67</w:t>
      </w:r>
      <w:r w:rsidR="00CC4631">
        <w:t>8.</w:t>
      </w:r>
      <w:r w:rsidR="002C3324">
        <w:rPr>
          <w:rStyle w:val="FootnoteReference"/>
        </w:rPr>
        <w:footnoteReference w:id="3"/>
      </w:r>
      <w:r w:rsidR="00CC4631">
        <w:t xml:space="preserve"> </w:t>
      </w:r>
    </w:p>
    <w:p w14:paraId="200DA3A5" w14:textId="282D3115" w:rsidR="007C1C19" w:rsidRDefault="00CC4631" w:rsidP="007C1C19">
      <w:pPr>
        <w:pStyle w:val="Paragraph"/>
      </w:pPr>
      <w:r>
        <w:lastRenderedPageBreak/>
        <w:t>Further, although informational tariff filings are not generally subjected to administrative processing by Staff or an ALJ, Staff recommends that</w:t>
      </w:r>
      <w:r w:rsidR="001B20F1">
        <w:t>, for Pink Hill WSC to fully comply with TWC § 13.</w:t>
      </w:r>
      <w:r w:rsidR="007D6489">
        <w:t>136</w:t>
      </w:r>
      <w:r w:rsidR="001B20F1">
        <w:t xml:space="preserve">(c) and 16 TAC § 24.25(i), </w:t>
      </w:r>
      <w:r>
        <w:t xml:space="preserve">Pink Hill WSC </w:t>
      </w:r>
      <w:r w:rsidR="001B20F1">
        <w:t xml:space="preserve">must </w:t>
      </w:r>
      <w:r>
        <w:t xml:space="preserve">file </w:t>
      </w:r>
      <w:r w:rsidR="002C3324">
        <w:t xml:space="preserve">in Tariff Control No. 55678 </w:t>
      </w:r>
      <w:r>
        <w:t xml:space="preserve">the complete updated tariff that </w:t>
      </w:r>
      <w:r w:rsidR="001F3EFD">
        <w:t xml:space="preserve">reflects the changes made to the gallonage charges and </w:t>
      </w:r>
      <w:r>
        <w:t>includes all the information required by 16 TAC § 24.25(i)</w:t>
      </w:r>
      <w:r w:rsidR="00195578">
        <w:t xml:space="preserve">, including the certificate of convenience and necessity (CCN) number under which service is </w:t>
      </w:r>
      <w:r w:rsidR="009A775F">
        <w:t xml:space="preserve">being </w:t>
      </w:r>
      <w:r w:rsidR="00195578">
        <w:t>provided</w:t>
      </w:r>
      <w:r w:rsidR="009A775F">
        <w:t xml:space="preserve"> by Pink Hill WSC</w:t>
      </w:r>
      <w:r>
        <w:t>. Notably, Staff notes that Pink Hill WSC is obligated to provide water service under CCN No. 10185</w:t>
      </w:r>
      <w:r w:rsidR="00A72F81">
        <w:t>.</w:t>
      </w:r>
      <w:r w:rsidR="00A72F81">
        <w:rPr>
          <w:rStyle w:val="FootnoteReference"/>
        </w:rPr>
        <w:footnoteReference w:id="4"/>
      </w:r>
      <w:r w:rsidR="00A72F81">
        <w:t xml:space="preserve"> However, based on the tariff </w:t>
      </w:r>
      <w:r w:rsidR="0007290C">
        <w:t xml:space="preserve">previously </w:t>
      </w:r>
      <w:r w:rsidR="00A72F81">
        <w:t>filed in Tariff Control No. 55</w:t>
      </w:r>
      <w:r w:rsidR="009A775F">
        <w:t>67</w:t>
      </w:r>
      <w:r w:rsidR="00A72F81">
        <w:t xml:space="preserve">8, Pink Hill WSC did not </w:t>
      </w:r>
      <w:r w:rsidR="008753FB">
        <w:t xml:space="preserve">include </w:t>
      </w:r>
      <w:r w:rsidR="00195578">
        <w:t>CCN No. 10185</w:t>
      </w:r>
      <w:r w:rsidR="00D32034">
        <w:t xml:space="preserve"> in </w:t>
      </w:r>
      <w:r w:rsidR="00AA1EAB">
        <w:t>its</w:t>
      </w:r>
      <w:r w:rsidR="00D32034">
        <w:t xml:space="preserve"> tariff</w:t>
      </w:r>
      <w:r w:rsidR="00A72F81">
        <w:t>.</w:t>
      </w:r>
      <w:r w:rsidR="00A72F81">
        <w:rPr>
          <w:rStyle w:val="FootnoteReference"/>
        </w:rPr>
        <w:footnoteReference w:id="5"/>
      </w:r>
      <w:r w:rsidR="00B933F6">
        <w:t xml:space="preserve"> Finally, Staff recommends that Pink Hill WSC file a notice in this docket that it has made such an </w:t>
      </w:r>
      <w:r w:rsidR="002C3324">
        <w:t xml:space="preserve">updated </w:t>
      </w:r>
      <w:r w:rsidR="00B933F6">
        <w:t>informational tariff filing in Tariff Control No. 5</w:t>
      </w:r>
      <w:r w:rsidR="009A775F">
        <w:t>567</w:t>
      </w:r>
      <w:r w:rsidR="00B933F6">
        <w:t xml:space="preserve">8 and that this docket be closed thereafter. </w:t>
      </w:r>
    </w:p>
    <w:p w14:paraId="08FA1A12" w14:textId="77777777" w:rsidR="009008C6" w:rsidRPr="00FE5A24" w:rsidRDefault="009008C6" w:rsidP="007C1C19">
      <w:pPr>
        <w:pStyle w:val="Paragraph"/>
      </w:pPr>
    </w:p>
    <w:p w14:paraId="464BA817" w14:textId="77777777" w:rsidR="007C1C19" w:rsidRDefault="007C1C19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5E0AD2">
        <w:t>CONCLUSION</w:t>
      </w:r>
    </w:p>
    <w:p w14:paraId="5F7C55D7" w14:textId="223F173C" w:rsidR="007C1C19" w:rsidRDefault="009008C6" w:rsidP="009008C6">
      <w:pPr>
        <w:autoSpaceDE w:val="0"/>
        <w:autoSpaceDN w:val="0"/>
        <w:adjustRightInd w:val="0"/>
        <w:spacing w:after="0"/>
        <w:rPr>
          <w:bCs/>
        </w:rPr>
      </w:pPr>
      <w:r>
        <w:rPr>
          <w:bCs/>
        </w:rPr>
        <w:t>For the reasons detailed above, Staff respectfully requests the entry of an order consistent with the foregoing.</w:t>
      </w:r>
    </w:p>
    <w:p w14:paraId="4F297868" w14:textId="77777777" w:rsidR="009008C6" w:rsidRDefault="009008C6" w:rsidP="009008C6">
      <w:pPr>
        <w:autoSpaceDE w:val="0"/>
        <w:autoSpaceDN w:val="0"/>
        <w:adjustRightInd w:val="0"/>
        <w:spacing w:after="0"/>
        <w:rPr>
          <w:bCs/>
        </w:rPr>
      </w:pPr>
    </w:p>
    <w:p w14:paraId="1489CC0A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1C1145E8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4B16B1B6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2F9AFEAC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01AECBA2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483C37A1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29586B42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6338A2FF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26B29545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45846A87" w14:textId="77777777" w:rsidR="001F3EFD" w:rsidRDefault="001F3EFD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3FF610FE" w14:textId="12B79266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C73C4A">
        <w:rPr>
          <w:bCs/>
          <w:noProof/>
        </w:rPr>
        <w:t>July 2, 2024</w:t>
      </w:r>
      <w:r w:rsidRPr="000612C6">
        <w:rPr>
          <w:bCs/>
        </w:rPr>
        <w:fldChar w:fldCharType="end"/>
      </w:r>
    </w:p>
    <w:p w14:paraId="5DF6ABBA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5B26D509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7BC7ABA2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36105F3C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2D226487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1B775FD1" w14:textId="77777777" w:rsidR="007C1C19" w:rsidRPr="000612C6" w:rsidRDefault="00E41EC3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Marisa Lopez Wagley</w:t>
      </w:r>
    </w:p>
    <w:p w14:paraId="4DA3A76C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1A5AB38D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24A6EF7B" w14:textId="77777777" w:rsidR="007C1C19" w:rsidRPr="000612C6" w:rsidRDefault="00E41EC3" w:rsidP="007C1C19">
      <w:pPr>
        <w:spacing w:after="0" w:line="240" w:lineRule="auto"/>
        <w:ind w:firstLine="4320"/>
        <w:jc w:val="left"/>
      </w:pPr>
      <w:r>
        <w:t>Ian Groetsch</w:t>
      </w:r>
    </w:p>
    <w:p w14:paraId="333E118F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6F34668D" w14:textId="77777777" w:rsidR="007C1C19" w:rsidRPr="000612C6" w:rsidRDefault="007C1C19" w:rsidP="007C1C19">
      <w:pPr>
        <w:spacing w:after="0" w:line="240" w:lineRule="auto"/>
        <w:ind w:firstLine="4320"/>
        <w:jc w:val="left"/>
      </w:pPr>
    </w:p>
    <w:p w14:paraId="484F13A0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1CB0CA40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454BCD0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08051582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4616C3CA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7261F29F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32A5C096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1BDA1A0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192548BA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4663B44D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7A08D8AB" w14:textId="77777777" w:rsidR="0059201D" w:rsidRPr="0051021C" w:rsidRDefault="0059201D" w:rsidP="0051021C">
      <w:pPr>
        <w:pStyle w:val="Paragraph"/>
      </w:pPr>
    </w:p>
    <w:p w14:paraId="406D0B23" w14:textId="0E6EEE3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E53DB" w:rsidRPr="00EF7381">
        <w:t>Docket</w:t>
      </w:r>
      <w:r w:rsidR="002E53DB" w:rsidRPr="00D92C94">
        <w:t xml:space="preserve"> No</w:t>
      </w:r>
      <w:r w:rsidR="002E53DB" w:rsidRPr="008647EB">
        <w:t>.</w:t>
      </w:r>
      <w:r w:rsidR="002E53DB">
        <w:t xml:space="preserve"> 56550</w:t>
      </w:r>
      <w:r w:rsidR="002E53DB" w:rsidRPr="002E53DB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325110A9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6AF90027" w14:textId="29DEF515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21458B">
        <w:t>ill be</w:t>
      </w:r>
      <w:r w:rsidRPr="00893EAC">
        <w:t xml:space="preserve"> provided to all parties of record via electronic mail on</w:t>
      </w:r>
      <w:r>
        <w:t xml:space="preserve"> </w:t>
      </w:r>
      <w:r w:rsidR="00C96690" w:rsidRPr="000612C6">
        <w:rPr>
          <w:bCs/>
        </w:rPr>
        <w:fldChar w:fldCharType="begin"/>
      </w:r>
      <w:r w:rsidR="00C96690" w:rsidRPr="000612C6">
        <w:rPr>
          <w:bCs/>
        </w:rPr>
        <w:instrText xml:space="preserve"> DATE \@ "MMMM d, yyyy" </w:instrText>
      </w:r>
      <w:r w:rsidR="00C96690" w:rsidRPr="000612C6">
        <w:rPr>
          <w:bCs/>
        </w:rPr>
        <w:fldChar w:fldCharType="separate"/>
      </w:r>
      <w:r w:rsidR="00C73C4A">
        <w:rPr>
          <w:bCs/>
          <w:noProof/>
        </w:rPr>
        <w:t>July 2, 2024</w:t>
      </w:r>
      <w:r w:rsidR="00C96690" w:rsidRPr="000612C6">
        <w:rPr>
          <w:bCs/>
        </w:rP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6D87D36C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0EC6CECC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7BF8259F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79C849D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13C56100" w14:textId="77777777" w:rsidR="00DA790F" w:rsidRPr="00893EAC" w:rsidRDefault="00DA790F" w:rsidP="007C1C1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1D72" w14:textId="77777777" w:rsidR="002E53DB" w:rsidRDefault="002E53DB">
      <w:pPr>
        <w:spacing w:after="0" w:line="240" w:lineRule="auto"/>
      </w:pPr>
      <w:r>
        <w:separator/>
      </w:r>
    </w:p>
  </w:endnote>
  <w:endnote w:type="continuationSeparator" w:id="0">
    <w:p w14:paraId="19F3D028" w14:textId="77777777" w:rsidR="002E53DB" w:rsidRDefault="002E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AA60A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C09531" w14:textId="77777777" w:rsidR="00071BFA" w:rsidRDefault="00071BFA" w:rsidP="008016FB">
    <w:pPr>
      <w:pStyle w:val="Footer"/>
    </w:pPr>
  </w:p>
  <w:p w14:paraId="0C283E30" w14:textId="77777777" w:rsidR="00071BFA" w:rsidRDefault="00071BFA" w:rsidP="008016FB"/>
  <w:p w14:paraId="7EE6728D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6F0C7" w14:textId="77777777" w:rsidR="002E53DB" w:rsidRDefault="002E53DB">
      <w:pPr>
        <w:spacing w:after="0" w:line="240" w:lineRule="auto"/>
      </w:pPr>
      <w:r>
        <w:separator/>
      </w:r>
    </w:p>
  </w:footnote>
  <w:footnote w:type="continuationSeparator" w:id="0">
    <w:p w14:paraId="0011163B" w14:textId="77777777" w:rsidR="002E53DB" w:rsidRDefault="002E53DB">
      <w:pPr>
        <w:spacing w:after="0" w:line="240" w:lineRule="auto"/>
      </w:pPr>
      <w:r>
        <w:continuationSeparator/>
      </w:r>
    </w:p>
  </w:footnote>
  <w:footnote w:type="continuationNotice" w:id="1">
    <w:p w14:paraId="37A5F5A6" w14:textId="77777777" w:rsidR="002E53DB" w:rsidRDefault="002E53DB">
      <w:pPr>
        <w:spacing w:after="0" w:line="240" w:lineRule="auto"/>
      </w:pPr>
    </w:p>
  </w:footnote>
  <w:footnote w:id="2">
    <w:p w14:paraId="4B8B07A2" w14:textId="158DA698" w:rsidR="00815848" w:rsidRDefault="00815848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815848">
        <w:rPr>
          <w:i/>
          <w:iCs/>
        </w:rPr>
        <w:t xml:space="preserve">Pink Hill Water Supply Corporation Tariff </w:t>
      </w:r>
      <w:r>
        <w:rPr>
          <w:i/>
          <w:iCs/>
        </w:rPr>
        <w:t>f</w:t>
      </w:r>
      <w:r w:rsidRPr="00815848">
        <w:rPr>
          <w:i/>
          <w:iCs/>
        </w:rPr>
        <w:t>or Grayson County</w:t>
      </w:r>
      <w:r>
        <w:t xml:space="preserve">, Tariff Control No. 55678, 2023 Tariffs (Oct. 12, 2023).  </w:t>
      </w:r>
    </w:p>
  </w:footnote>
  <w:footnote w:id="3">
    <w:p w14:paraId="5B73657E" w14:textId="788F7935" w:rsidR="002C3324" w:rsidRDefault="002C3324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See e.g</w:t>
      </w:r>
      <w:r w:rsidR="005877E2">
        <w:rPr>
          <w:i/>
          <w:iCs/>
        </w:rPr>
        <w:t xml:space="preserve">. </w:t>
      </w:r>
      <w:r w:rsidR="005877E2" w:rsidRPr="005877E2">
        <w:rPr>
          <w:i/>
          <w:iCs/>
        </w:rPr>
        <w:t xml:space="preserve">Application </w:t>
      </w:r>
      <w:r w:rsidR="005877E2">
        <w:rPr>
          <w:i/>
          <w:iCs/>
        </w:rPr>
        <w:t>o</w:t>
      </w:r>
      <w:r w:rsidR="005877E2" w:rsidRPr="005877E2">
        <w:rPr>
          <w:i/>
          <w:iCs/>
        </w:rPr>
        <w:t xml:space="preserve">f Cypress Cove Maintenance Association </w:t>
      </w:r>
      <w:r w:rsidR="005877E2">
        <w:rPr>
          <w:i/>
          <w:iCs/>
        </w:rPr>
        <w:t>a</w:t>
      </w:r>
      <w:r w:rsidR="005877E2" w:rsidRPr="005877E2">
        <w:rPr>
          <w:i/>
          <w:iCs/>
        </w:rPr>
        <w:t xml:space="preserve">nd Cypress Cove Water Supply Corporation </w:t>
      </w:r>
      <w:r w:rsidR="005877E2">
        <w:rPr>
          <w:i/>
          <w:iCs/>
        </w:rPr>
        <w:t>f</w:t>
      </w:r>
      <w:r w:rsidR="005877E2" w:rsidRPr="005877E2">
        <w:rPr>
          <w:i/>
          <w:iCs/>
        </w:rPr>
        <w:t xml:space="preserve">or Sale, Transfer, </w:t>
      </w:r>
      <w:r w:rsidR="005877E2">
        <w:rPr>
          <w:i/>
          <w:iCs/>
        </w:rPr>
        <w:t>o</w:t>
      </w:r>
      <w:r w:rsidR="005877E2" w:rsidRPr="005877E2">
        <w:rPr>
          <w:i/>
          <w:iCs/>
        </w:rPr>
        <w:t xml:space="preserve">r Merger </w:t>
      </w:r>
      <w:r w:rsidR="005877E2">
        <w:rPr>
          <w:i/>
          <w:iCs/>
        </w:rPr>
        <w:t>o</w:t>
      </w:r>
      <w:r w:rsidR="005877E2" w:rsidRPr="005877E2">
        <w:rPr>
          <w:i/>
          <w:iCs/>
        </w:rPr>
        <w:t xml:space="preserve">f Facilities </w:t>
      </w:r>
      <w:r w:rsidR="005877E2">
        <w:rPr>
          <w:i/>
          <w:iCs/>
        </w:rPr>
        <w:t>a</w:t>
      </w:r>
      <w:r w:rsidR="005877E2" w:rsidRPr="005877E2">
        <w:rPr>
          <w:i/>
          <w:iCs/>
        </w:rPr>
        <w:t xml:space="preserve">nd Certificate Rights </w:t>
      </w:r>
      <w:r w:rsidR="005877E2">
        <w:rPr>
          <w:i/>
          <w:iCs/>
        </w:rPr>
        <w:t>i</w:t>
      </w:r>
      <w:r w:rsidR="005877E2" w:rsidRPr="005877E2">
        <w:rPr>
          <w:i/>
          <w:iCs/>
        </w:rPr>
        <w:t>n Comal County</w:t>
      </w:r>
      <w:r>
        <w:t xml:space="preserve">, </w:t>
      </w:r>
      <w:r w:rsidR="005877E2">
        <w:t xml:space="preserve">Docket No. 47752, </w:t>
      </w:r>
      <w:r>
        <w:t>Memo – Control Number Consolidation (</w:t>
      </w:r>
      <w:r w:rsidR="005877E2">
        <w:t>Jan</w:t>
      </w:r>
      <w:r>
        <w:t>. 1</w:t>
      </w:r>
      <w:r w:rsidR="005877E2">
        <w:t>0</w:t>
      </w:r>
      <w:r>
        <w:t>, 2022)</w:t>
      </w:r>
      <w:r w:rsidR="007D6489">
        <w:t>,</w:t>
      </w:r>
      <w:r w:rsidR="00E7039A">
        <w:t xml:space="preserve"> </w:t>
      </w:r>
      <w:r w:rsidR="00E7039A" w:rsidRPr="00804207">
        <w:rPr>
          <w:i/>
          <w:iCs/>
        </w:rPr>
        <w:t>and</w:t>
      </w:r>
      <w:r w:rsidR="00E7039A">
        <w:t xml:space="preserve"> </w:t>
      </w:r>
      <w:r w:rsidR="005877E2" w:rsidRPr="005877E2">
        <w:rPr>
          <w:i/>
          <w:iCs/>
        </w:rPr>
        <w:t xml:space="preserve">Tariff Filing </w:t>
      </w:r>
      <w:r w:rsidR="005877E2">
        <w:rPr>
          <w:i/>
          <w:iCs/>
        </w:rPr>
        <w:t>o</w:t>
      </w:r>
      <w:r w:rsidR="005877E2" w:rsidRPr="005877E2">
        <w:rPr>
          <w:i/>
          <w:iCs/>
        </w:rPr>
        <w:t xml:space="preserve">f Cypress Cove Water Supply Corporation Pursuant </w:t>
      </w:r>
      <w:r w:rsidR="005877E2">
        <w:rPr>
          <w:i/>
          <w:iCs/>
        </w:rPr>
        <w:t>t</w:t>
      </w:r>
      <w:r w:rsidR="005877E2" w:rsidRPr="005877E2">
        <w:rPr>
          <w:i/>
          <w:iCs/>
        </w:rPr>
        <w:t>o Texas Water Code Section 13.136(</w:t>
      </w:r>
      <w:r w:rsidR="005877E2">
        <w:rPr>
          <w:i/>
          <w:iCs/>
        </w:rPr>
        <w:t>c</w:t>
      </w:r>
      <w:r w:rsidR="005877E2" w:rsidRPr="005877E2">
        <w:rPr>
          <w:i/>
          <w:iCs/>
        </w:rPr>
        <w:t xml:space="preserve">) </w:t>
      </w:r>
      <w:r w:rsidR="005877E2">
        <w:rPr>
          <w:i/>
          <w:iCs/>
        </w:rPr>
        <w:t>a</w:t>
      </w:r>
      <w:r w:rsidR="005877E2" w:rsidRPr="005877E2">
        <w:rPr>
          <w:i/>
          <w:iCs/>
        </w:rPr>
        <w:t>nd 16 T</w:t>
      </w:r>
      <w:r w:rsidR="005877E2">
        <w:rPr>
          <w:i/>
          <w:iCs/>
        </w:rPr>
        <w:t>AC</w:t>
      </w:r>
      <w:r w:rsidR="005877E2" w:rsidRPr="005877E2">
        <w:rPr>
          <w:i/>
          <w:iCs/>
        </w:rPr>
        <w:t xml:space="preserve"> Section 24.21(</w:t>
      </w:r>
      <w:r w:rsidR="005877E2">
        <w:rPr>
          <w:i/>
          <w:iCs/>
        </w:rPr>
        <w:t>j</w:t>
      </w:r>
      <w:r w:rsidR="005877E2" w:rsidRPr="005877E2">
        <w:rPr>
          <w:i/>
          <w:iCs/>
        </w:rPr>
        <w:t>)</w:t>
      </w:r>
      <w:r w:rsidR="005877E2">
        <w:t xml:space="preserve">, Tariff Control No. 50991, Memo – Control Number Consolidation (Jan. 10, 2022). </w:t>
      </w:r>
      <w:r>
        <w:t xml:space="preserve">   </w:t>
      </w:r>
    </w:p>
  </w:footnote>
  <w:footnote w:id="4">
    <w:p w14:paraId="00BBFB43" w14:textId="67125C4C" w:rsidR="00A72F81" w:rsidRDefault="00A72F81" w:rsidP="00A72F81">
      <w:pPr>
        <w:pStyle w:val="FootnoteText"/>
      </w:pPr>
      <w:r>
        <w:rPr>
          <w:rStyle w:val="FootnoteReference"/>
        </w:rPr>
        <w:footnoteRef/>
      </w:r>
      <w:r>
        <w:t xml:space="preserve">  Water Utility Information, </w:t>
      </w:r>
      <w:r>
        <w:rPr>
          <w:i/>
          <w:iCs/>
        </w:rPr>
        <w:t>Public Utility Commission of Texas</w:t>
      </w:r>
      <w:r>
        <w:t xml:space="preserve">, at </w:t>
      </w:r>
      <w:hyperlink r:id="rId1" w:history="1">
        <w:r w:rsidRPr="00A72F81">
          <w:rPr>
            <w:rStyle w:val="Hyperlink"/>
          </w:rPr>
          <w:t>https://www.puc.texas.gov/watersearch</w:t>
        </w:r>
      </w:hyperlink>
      <w:r>
        <w:t xml:space="preserve">, based on searching Pink Hill WSC in the “Utility Name” field (last accessed Jul 3, 2024).  </w:t>
      </w:r>
    </w:p>
  </w:footnote>
  <w:footnote w:id="5">
    <w:p w14:paraId="1D7A2B74" w14:textId="5DEC45CE" w:rsidR="00A72F81" w:rsidRDefault="00A72F81">
      <w:pPr>
        <w:pStyle w:val="FootnoteText"/>
      </w:pPr>
      <w:r>
        <w:rPr>
          <w:rStyle w:val="FootnoteReference"/>
        </w:rPr>
        <w:footnoteRef/>
      </w:r>
      <w:r>
        <w:t xml:space="preserve">  Tariff Control No. 55678, 2023 Tariffs.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C6EBF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39447224">
    <w:abstractNumId w:val="10"/>
  </w:num>
  <w:num w:numId="2" w16cid:durableId="1886218125">
    <w:abstractNumId w:val="24"/>
  </w:num>
  <w:num w:numId="3" w16cid:durableId="1447575890">
    <w:abstractNumId w:val="15"/>
  </w:num>
  <w:num w:numId="4" w16cid:durableId="1082751928">
    <w:abstractNumId w:val="12"/>
  </w:num>
  <w:num w:numId="5" w16cid:durableId="442189172">
    <w:abstractNumId w:val="23"/>
  </w:num>
  <w:num w:numId="6" w16cid:durableId="1410469602">
    <w:abstractNumId w:val="22"/>
  </w:num>
  <w:num w:numId="7" w16cid:durableId="1431461881">
    <w:abstractNumId w:val="16"/>
  </w:num>
  <w:num w:numId="8" w16cid:durableId="269287610">
    <w:abstractNumId w:val="17"/>
  </w:num>
  <w:num w:numId="9" w16cid:durableId="5713519">
    <w:abstractNumId w:val="20"/>
  </w:num>
  <w:num w:numId="10" w16cid:durableId="1029530196">
    <w:abstractNumId w:val="21"/>
  </w:num>
  <w:num w:numId="11" w16cid:durableId="618798251">
    <w:abstractNumId w:val="13"/>
  </w:num>
  <w:num w:numId="12" w16cid:durableId="1248811654">
    <w:abstractNumId w:val="19"/>
  </w:num>
  <w:num w:numId="13" w16cid:durableId="168179347">
    <w:abstractNumId w:val="9"/>
  </w:num>
  <w:num w:numId="14" w16cid:durableId="925501630">
    <w:abstractNumId w:val="7"/>
  </w:num>
  <w:num w:numId="15" w16cid:durableId="2130200326">
    <w:abstractNumId w:val="6"/>
  </w:num>
  <w:num w:numId="16" w16cid:durableId="919174196">
    <w:abstractNumId w:val="5"/>
  </w:num>
  <w:num w:numId="17" w16cid:durableId="1182745321">
    <w:abstractNumId w:val="4"/>
  </w:num>
  <w:num w:numId="18" w16cid:durableId="1873810795">
    <w:abstractNumId w:val="8"/>
  </w:num>
  <w:num w:numId="19" w16cid:durableId="808984980">
    <w:abstractNumId w:val="3"/>
  </w:num>
  <w:num w:numId="20" w16cid:durableId="51277286">
    <w:abstractNumId w:val="2"/>
  </w:num>
  <w:num w:numId="21" w16cid:durableId="1420785011">
    <w:abstractNumId w:val="1"/>
  </w:num>
  <w:num w:numId="22" w16cid:durableId="967587380">
    <w:abstractNumId w:val="0"/>
  </w:num>
  <w:num w:numId="23" w16cid:durableId="1989360705">
    <w:abstractNumId w:val="11"/>
  </w:num>
  <w:num w:numId="24" w16cid:durableId="1791708925">
    <w:abstractNumId w:val="14"/>
  </w:num>
  <w:num w:numId="25" w16cid:durableId="17588212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DB"/>
    <w:rsid w:val="000008E2"/>
    <w:rsid w:val="0000107F"/>
    <w:rsid w:val="000038EE"/>
    <w:rsid w:val="00003FE4"/>
    <w:rsid w:val="0000654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658F2"/>
    <w:rsid w:val="00071BFA"/>
    <w:rsid w:val="000722C0"/>
    <w:rsid w:val="0007290C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578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20F1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3EFD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58B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3324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53DB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352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1D92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2549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877E2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3FC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578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48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207"/>
    <w:rsid w:val="00804F63"/>
    <w:rsid w:val="00805FB2"/>
    <w:rsid w:val="008075F2"/>
    <w:rsid w:val="008128DD"/>
    <w:rsid w:val="00813959"/>
    <w:rsid w:val="008146C8"/>
    <w:rsid w:val="00815647"/>
    <w:rsid w:val="0081584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53FB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08C6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75F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5D3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2F81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AB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33F6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0667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26086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4C70"/>
    <w:rsid w:val="00C7196E"/>
    <w:rsid w:val="00C739E0"/>
    <w:rsid w:val="00C73C4A"/>
    <w:rsid w:val="00C73E7A"/>
    <w:rsid w:val="00C76D48"/>
    <w:rsid w:val="00C81AD0"/>
    <w:rsid w:val="00C9669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4631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6AF"/>
    <w:rsid w:val="00D22841"/>
    <w:rsid w:val="00D2284D"/>
    <w:rsid w:val="00D2442A"/>
    <w:rsid w:val="00D30C72"/>
    <w:rsid w:val="00D32034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1EC3"/>
    <w:rsid w:val="00E46C07"/>
    <w:rsid w:val="00E476B7"/>
    <w:rsid w:val="00E50247"/>
    <w:rsid w:val="00E50E56"/>
    <w:rsid w:val="00E5280E"/>
    <w:rsid w:val="00E558F3"/>
    <w:rsid w:val="00E57EBE"/>
    <w:rsid w:val="00E60E28"/>
    <w:rsid w:val="00E62BAC"/>
    <w:rsid w:val="00E65429"/>
    <w:rsid w:val="00E7039A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EF7D57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5309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D64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uc.texas.gov/watersearc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E17F0A9FBBE426783DFEF6E5496E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71502-620C-486F-8D62-EF021E374B39}"/>
      </w:docPartPr>
      <w:docPartBody>
        <w:p w:rsidR="00587DD9" w:rsidRDefault="00587DD9">
          <w:pPr>
            <w:pStyle w:val="1E17F0A9FBBE426783DFEF6E5496E1B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DD9"/>
    <w:rsid w:val="0058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DD9"/>
    <w:rPr>
      <w:color w:val="808080"/>
    </w:rPr>
  </w:style>
  <w:style w:type="paragraph" w:customStyle="1" w:styleId="1E17F0A9FBBE426783DFEF6E5496E1B4">
    <w:name w:val="1E17F0A9FBBE426783DFEF6E5496E1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0591AB-C8BA-41D0-A17C-5C48A3583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3205</Characters>
  <Application>Microsoft Office Word</Application>
  <DocSecurity>0</DocSecurity>
  <Lines>26</Lines>
  <Paragraphs>7</Paragraphs>
  <ScaleCrop>false</ScaleCrop>
  <Manager/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2024-07-02T20:03:00Z</dcterms:created>
  <dcterms:modified xsi:type="dcterms:W3CDTF">2024-07-02T20:05:00Z</dcterms:modified>
</cp:coreProperties>
</file>